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867"/>
        <w:gridCol w:w="1170"/>
        <w:gridCol w:w="1205"/>
        <w:gridCol w:w="4425"/>
        <w:gridCol w:w="2239"/>
        <w:gridCol w:w="4214"/>
      </w:tblGrid>
      <w:tr w:rsidR="001865EA" w:rsidRPr="005A0486" w:rsidTr="005A0486">
        <w:trPr>
          <w:trHeight w:val="359"/>
        </w:trPr>
        <w:tc>
          <w:tcPr>
            <w:tcW w:w="1867" w:type="dxa"/>
          </w:tcPr>
          <w:p w:rsidR="001865EA" w:rsidRPr="005A0486" w:rsidRDefault="001865EA" w:rsidP="001865EA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Denumirea cererii</w:t>
            </w:r>
          </w:p>
        </w:tc>
        <w:tc>
          <w:tcPr>
            <w:tcW w:w="1170" w:type="dxa"/>
          </w:tcPr>
          <w:p w:rsidR="001865EA" w:rsidRPr="005A0486" w:rsidRDefault="001865EA" w:rsidP="001865EA">
            <w:pPr>
              <w:ind w:left="-144" w:right="-108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adoptării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/ data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intrării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în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1205" w:type="dxa"/>
          </w:tcPr>
          <w:p w:rsidR="001865EA" w:rsidRPr="005A0486" w:rsidRDefault="001865EA" w:rsidP="001865EA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Numărul cererii</w:t>
            </w:r>
          </w:p>
        </w:tc>
        <w:tc>
          <w:tcPr>
            <w:tcW w:w="4425" w:type="dxa"/>
          </w:tcPr>
          <w:p w:rsidR="001865EA" w:rsidRPr="005A0486" w:rsidRDefault="001865EA" w:rsidP="001865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Violările constatate</w:t>
            </w:r>
          </w:p>
        </w:tc>
        <w:tc>
          <w:tcPr>
            <w:tcW w:w="2239" w:type="dxa"/>
          </w:tcPr>
          <w:p w:rsidR="001865EA" w:rsidRPr="005A0486" w:rsidRDefault="001865EA" w:rsidP="001865EA">
            <w:pPr>
              <w:ind w:left="-108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Prejudiciul moral</w:t>
            </w:r>
          </w:p>
        </w:tc>
        <w:tc>
          <w:tcPr>
            <w:tcW w:w="4214" w:type="dxa"/>
          </w:tcPr>
          <w:p w:rsidR="001865EA" w:rsidRPr="005A0486" w:rsidRDefault="001865EA" w:rsidP="001865EA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Persoanele responsabile de condamnare</w:t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br/>
              <w:t>(conform funcţiei la ziua comiterii abaterii)</w:t>
            </w:r>
          </w:p>
        </w:tc>
      </w:tr>
      <w:tr w:rsidR="001865EA" w:rsidRPr="005A0486" w:rsidTr="005A0486">
        <w:tc>
          <w:tcPr>
            <w:tcW w:w="1867" w:type="dxa"/>
          </w:tcPr>
          <w:p w:rsidR="001865EA" w:rsidRPr="005A0486" w:rsidRDefault="001865EA" w:rsidP="001865EA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</w:rPr>
              <w:t>CUCU ȘI ALȚII</w:t>
            </w:r>
          </w:p>
        </w:tc>
        <w:tc>
          <w:tcPr>
            <w:tcW w:w="1170" w:type="dxa"/>
          </w:tcPr>
          <w:p w:rsidR="001865EA" w:rsidRPr="005A0486" w:rsidRDefault="001865EA" w:rsidP="001865EA">
            <w:pPr>
              <w:ind w:left="-144" w:right="-108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</w:rPr>
              <w:t>10.07.2018</w:t>
            </w:r>
          </w:p>
        </w:tc>
        <w:tc>
          <w:tcPr>
            <w:tcW w:w="1205" w:type="dxa"/>
          </w:tcPr>
          <w:p w:rsidR="001865EA" w:rsidRPr="005A0486" w:rsidRDefault="001865EA" w:rsidP="001865EA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</w:rPr>
              <w:t>7753/13 75188/13 76511/14</w:t>
            </w:r>
          </w:p>
        </w:tc>
        <w:tc>
          <w:tcPr>
            <w:tcW w:w="4425" w:type="dxa"/>
          </w:tcPr>
          <w:p w:rsidR="001865EA" w:rsidRPr="005A0486" w:rsidRDefault="001865EA" w:rsidP="001865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Invocând Articolul 5 § 1 din Convenție, reclamanții s-au plâns în fața Curții că despăgubirile acordate pentru încălcarea a Articolului 5 § 1 din Convenție de către autoritățile Republicii Moldova fuseseră disproporționate cu severitatea încălcării drepturilor lor.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Curtea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constatat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că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sumele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acordate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reclamanților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la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nivel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național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fuseseră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insuficiente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în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raport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cu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sumele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acordate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către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acesta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prin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prisma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jurisprudenței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sale.</w:t>
            </w:r>
          </w:p>
        </w:tc>
        <w:tc>
          <w:tcPr>
            <w:tcW w:w="2239" w:type="dxa"/>
          </w:tcPr>
          <w:p w:rsidR="001865EA" w:rsidRPr="005A0486" w:rsidRDefault="001865EA" w:rsidP="001865EA">
            <w:pPr>
              <w:ind w:left="-108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Curtea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hotărât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că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reclamanții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nu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și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-au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pierdut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statutul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victimă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acordându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-le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câte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4000 euro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pentru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prejudiciul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moral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și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câte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1500 euro cu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titlu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costuri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și</w:t>
            </w:r>
            <w:proofErr w:type="spellEnd"/>
            <w:r w:rsidRPr="005A04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A0486">
              <w:rPr>
                <w:rFonts w:asciiTheme="majorHAnsi" w:hAnsiTheme="majorHAnsi"/>
                <w:sz w:val="20"/>
                <w:szCs w:val="20"/>
              </w:rPr>
              <w:t>cheltuieli</w:t>
            </w:r>
            <w:proofErr w:type="spellEnd"/>
          </w:p>
        </w:tc>
        <w:tc>
          <w:tcPr>
            <w:tcW w:w="4214" w:type="dxa"/>
          </w:tcPr>
          <w:p w:rsidR="001865EA" w:rsidRPr="005A0486" w:rsidRDefault="001865EA" w:rsidP="001865EA">
            <w:pPr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Acordarea unei despăgubiri insuficiente.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i/>
                <w:sz w:val="20"/>
                <w:szCs w:val="20"/>
                <w:u w:val="single"/>
                <w:lang w:val="ro-RO"/>
              </w:rPr>
              <w:t xml:space="preserve">CUCU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Judecătoria Centru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Liubovi Brînză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 </w:t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de Apel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Nina Cernat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Anatol Pahopol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Ana Gavrilița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Supremă de Justiție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Svetlana Filincova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Taitana Vieru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Svetlana Novac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Ghenadie Nicolaev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Iurie Bejenaru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i/>
                <w:sz w:val="20"/>
                <w:szCs w:val="20"/>
                <w:u w:val="single"/>
                <w:lang w:val="ro-RO"/>
              </w:rPr>
              <w:t>TANASIEV</w:t>
            </w:r>
            <w:r w:rsidRPr="005A0486">
              <w:rPr>
                <w:rFonts w:asciiTheme="majorHAnsi" w:hAnsiTheme="majorHAnsi"/>
                <w:sz w:val="20"/>
                <w:szCs w:val="20"/>
                <w:u w:val="single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Judecătoria Râșcani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Potînga Iurie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de Apel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Ana Gavrilița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Ludmila Popova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Lidia Bulgac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Supremă de Justiție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Valeriu Doagă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Nicolae Clima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Ala Cobăneanu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i/>
                <w:sz w:val="20"/>
                <w:szCs w:val="20"/>
                <w:u w:val="single"/>
                <w:lang w:val="ro-RO"/>
              </w:rPr>
              <w:t xml:space="preserve">VLADARCIC </w:t>
            </w:r>
            <w:r w:rsidRPr="005A0486">
              <w:rPr>
                <w:rFonts w:asciiTheme="majorHAnsi" w:hAnsiTheme="majorHAnsi"/>
                <w:b/>
                <w:i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Judecătoria Buiucani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bookmarkStart w:id="0" w:name="_GoBack"/>
            <w:bookmarkEnd w:id="0"/>
            <w:r w:rsidRPr="005A0486">
              <w:rPr>
                <w:rFonts w:asciiTheme="majorHAnsi" w:hAnsiTheme="majorHAnsi"/>
                <w:sz w:val="20"/>
                <w:szCs w:val="20"/>
                <w:highlight w:val="yellow"/>
                <w:lang w:val="ro-RO"/>
              </w:rPr>
              <w:t>Mihai Diaconu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de Apel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Domnica Manole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Nina Traciuc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Eugenia Fistican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Curtea Supremă de Justiție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 xml:space="preserve">Ala Cobăneanu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lastRenderedPageBreak/>
              <w:t xml:space="preserve">Vera Macinskaia </w:t>
            </w:r>
            <w:r w:rsidRPr="005A0486">
              <w:rPr>
                <w:rFonts w:asciiTheme="majorHAnsi" w:hAnsiTheme="majorHAnsi"/>
                <w:sz w:val="20"/>
                <w:szCs w:val="20"/>
                <w:lang w:val="ro-RO"/>
              </w:rPr>
              <w:br/>
              <w:t>Dumitru Mardari</w:t>
            </w:r>
          </w:p>
        </w:tc>
      </w:tr>
      <w:tr w:rsidR="001865EA" w:rsidRPr="005A0486" w:rsidTr="005A0486">
        <w:tc>
          <w:tcPr>
            <w:tcW w:w="1867" w:type="dxa"/>
          </w:tcPr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b/>
                <w:color w:val="000000"/>
                <w:sz w:val="20"/>
                <w:szCs w:val="20"/>
                <w:lang w:val="ro-RO"/>
              </w:rPr>
              <w:lastRenderedPageBreak/>
              <w:t>BOICENCO c. Moldovei</w:t>
            </w:r>
          </w:p>
        </w:tc>
        <w:tc>
          <w:tcPr>
            <w:tcW w:w="1170" w:type="dxa"/>
          </w:tcPr>
          <w:p w:rsidR="001865EA" w:rsidRPr="005A0486" w:rsidRDefault="001865EA" w:rsidP="001865EA">
            <w:pPr>
              <w:spacing w:before="120"/>
              <w:ind w:left="-108" w:right="-108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11.07.2006</w:t>
            </w:r>
          </w:p>
        </w:tc>
        <w:tc>
          <w:tcPr>
            <w:tcW w:w="1205" w:type="dxa"/>
          </w:tcPr>
          <w:p w:rsidR="001865EA" w:rsidRPr="005A0486" w:rsidRDefault="001865EA" w:rsidP="001865EA">
            <w:pPr>
              <w:spacing w:before="120"/>
              <w:ind w:left="-144" w:right="-108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i/>
                <w:color w:val="000000"/>
                <w:sz w:val="20"/>
                <w:szCs w:val="20"/>
                <w:lang w:val="ro-RO"/>
              </w:rPr>
              <w:t>41088/05</w:t>
            </w:r>
          </w:p>
        </w:tc>
        <w:tc>
          <w:tcPr>
            <w:tcW w:w="4425" w:type="dxa"/>
          </w:tcPr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violarea art.3 al Convenţiei (interzicerea torturii) – maltratarea reclamantului de către angajaţii Centrului pentru Combaterea Crimelor Economice şi a Corupţiei; neacordarea asistenţei medicale necesare pe durata detenţiei reclamantului, care se afla în stare de stupor; respingerea, fără a efectua o cercetare, a plângerilor privind maltratarea reclamantului de către acelaşi procuror care instrumenta cauze penală împotriva reclamantului; violarea art. 5 § 1 al Convenţiei -  lipsirea de libertate a reclamantului, fără un mandat legal, după transmiterea dosarului penal în instanţa de judecată spre examinare (timp de peste 5 luni); violarea art. 5 § 3 al Convenţiei (garanţiile în cadrul procedurilor privind lipsirea de libertate) - motivarea insuficientă a deciziilor de eliberare şi prelungire a mandatului de arest şi a deciziilor de respingere a recursurilor apărării la aceste decizii; violarea art. 5 § 3 al Convenţiei (prezumţia de libertate) - datorită gravităţii învinuirilor, prevederile art. 191 al Codului de Procedură Penală obligau arestarea reclamantului; violarea art. 34 al Convenţiei (dreptul de a depune o cerere la CtEDO) – refuzul autorităţilor de a permite avocaţilor reclamantului de a avea acces la reclamant şi la fişa sa medicală, ceea ce i-a împiedicat să prezinte Curţii, în numele reclamantului, pretenţiile cu privire la prejudiciile materiale.</w:t>
            </w:r>
          </w:p>
        </w:tc>
        <w:tc>
          <w:tcPr>
            <w:tcW w:w="2239" w:type="dxa"/>
          </w:tcPr>
          <w:p w:rsidR="001865EA" w:rsidRPr="005A0486" w:rsidRDefault="001865EA" w:rsidP="001865EA">
            <w:pPr>
              <w:spacing w:before="120"/>
              <w:ind w:left="-108" w:right="-108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Comp. mater.- rezervat pentru o hotărâre separată</w:t>
            </w:r>
          </w:p>
          <w:p w:rsidR="001865EA" w:rsidRPr="005A0486" w:rsidRDefault="001865EA" w:rsidP="001865EA">
            <w:pPr>
              <w:spacing w:before="120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Comp. moral.- € 40,000</w:t>
            </w:r>
          </w:p>
          <w:p w:rsidR="001865EA" w:rsidRPr="005A0486" w:rsidRDefault="001865EA" w:rsidP="001865EA">
            <w:pPr>
              <w:spacing w:before="120"/>
              <w:ind w:right="-108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Cost/chelt.- € 6,823</w:t>
            </w:r>
          </w:p>
        </w:tc>
        <w:tc>
          <w:tcPr>
            <w:tcW w:w="4214" w:type="dxa"/>
          </w:tcPr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(a) Responsabil de reţinerea reclamantului - locotenent-colonelul Marina MACOVEI, ofiţer superior la CCCEC;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(b) maltratarea reclamantului – persoane neindentificate din cadrul CCCEC;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(c) neînceperea urmăririi penale cu privire la maltratare reclamantului - Nicolae CATANĂ, procuror, Secţia Conducerii urmărire Penală în organele centrale ale CCCEC, SIS şi Departamentul Vamal;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(d) refuzul de a anula rezoluţia de neîncepere a urmării penale - Ghenadie MOROZAN, judecător de instrucţie, (judecătoria Rîşcani, mun. Chişinău);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(e) nemotivarea necesitaţii arestului - Ion MOROZAN, judecător de instrucţie (judecătoria Buiucani, municipiul Chişinău); Ghenadie NICOLAEV, Gheorghe STRATAN şi Mihai BURUIAN, judecători, Curtea de Apel Chişinău;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 xml:space="preserve">(f) deţinerea reclamantului după 23.07.2005 fără mandat legal – Dorin POPOVICI, Silvia GÎRBU şi </w:t>
            </w:r>
            <w:r w:rsidRPr="005A0486">
              <w:rPr>
                <w:rFonts w:asciiTheme="majorHAnsi" w:hAnsiTheme="majorHAnsi"/>
                <w:color w:val="000000"/>
                <w:sz w:val="20"/>
                <w:szCs w:val="20"/>
                <w:highlight w:val="yellow"/>
                <w:lang w:val="ro-RO"/>
              </w:rPr>
              <w:t>Mihail DIACONU</w:t>
            </w: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, judecători, judecătoria Buiucani, mun. Chişinău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 xml:space="preserve">(g) neacordarea asistenţei medicale strict necesare – conducerea Spitalului Republican cu Profil Larg al Departamentului Instituţiilor Penitenciare şi conducerea Penitenciarului nr.13 din mun. Chişinău </w:t>
            </w:r>
          </w:p>
          <w:p w:rsidR="001865EA" w:rsidRPr="005A0486" w:rsidRDefault="001865EA" w:rsidP="001865EA">
            <w:pPr>
              <w:spacing w:before="12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</w:pPr>
            <w:r w:rsidRPr="005A0486">
              <w:rPr>
                <w:rFonts w:asciiTheme="majorHAnsi" w:hAnsiTheme="majorHAnsi"/>
                <w:color w:val="000000"/>
                <w:sz w:val="20"/>
                <w:szCs w:val="20"/>
                <w:lang w:val="ro-RO"/>
              </w:rPr>
              <w:t>(h) refuzul de a permite avocaţilor să-l vadă pe reclamant şi fişa lui medicală – I. Catrinici, Medic şef adjunct expertiză, Spitalul Clinic de Psihiatrie; Lilia GRIMALSCHI, Şef adjunct, Direcţia Principală Agent Guvernamental</w:t>
            </w:r>
          </w:p>
        </w:tc>
      </w:tr>
    </w:tbl>
    <w:p w:rsidR="000B5735" w:rsidRPr="005A0486" w:rsidRDefault="005A0486">
      <w:pPr>
        <w:rPr>
          <w:rFonts w:asciiTheme="majorHAnsi" w:hAnsiTheme="majorHAnsi"/>
          <w:sz w:val="20"/>
          <w:szCs w:val="20"/>
        </w:rPr>
      </w:pPr>
    </w:p>
    <w:sectPr w:rsidR="000B5735" w:rsidRPr="005A0486" w:rsidSect="00BD372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20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3FB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65EA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0486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96245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482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37D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0DA1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2ED5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A40CC"/>
    <w:rsid w:val="00BB3228"/>
    <w:rsid w:val="00BB5E3A"/>
    <w:rsid w:val="00BC3D68"/>
    <w:rsid w:val="00BC5655"/>
    <w:rsid w:val="00BC6BA3"/>
    <w:rsid w:val="00BC7089"/>
    <w:rsid w:val="00BD13A0"/>
    <w:rsid w:val="00BD28DD"/>
    <w:rsid w:val="00BD3720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662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360A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0D3FC-D603-4B6E-BB11-37FEF46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1865E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86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Diana</cp:lastModifiedBy>
  <cp:revision>4</cp:revision>
  <dcterms:created xsi:type="dcterms:W3CDTF">2020-02-27T09:38:00Z</dcterms:created>
  <dcterms:modified xsi:type="dcterms:W3CDTF">2020-02-27T09:42:00Z</dcterms:modified>
</cp:coreProperties>
</file>